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C704722" w14:textId="77777777" w:rsidR="00F030A8" w:rsidRPr="007E251D" w:rsidRDefault="00F030A8" w:rsidP="00F030A8">
      <w:pPr>
        <w:pStyle w:val="Normale1"/>
        <w:jc w:val="both"/>
        <w:rPr>
          <w:rFonts w:ascii="Calibri" w:eastAsia="Calibri" w:hAnsi="Calibri" w:cs="Calibri"/>
          <w:color w:val="0D0D0D" w:themeColor="text1" w:themeTint="F2"/>
        </w:rPr>
      </w:pPr>
    </w:p>
    <w:p w14:paraId="57296D32" w14:textId="77777777" w:rsidR="00CA339B" w:rsidRDefault="00CA339B" w:rsidP="00CA339B">
      <w:pPr>
        <w:widowControl w:val="0"/>
        <w:autoSpaceDE w:val="0"/>
        <w:autoSpaceDN w:val="0"/>
        <w:spacing w:after="144" w:line="252" w:lineRule="auto"/>
        <w:jc w:val="center"/>
        <w:rPr>
          <w:rFonts w:ascii="Calibri,Bold" w:eastAsia="Calibri" w:hAnsi="Calibri,Bold" w:cs="Calibri,Bold"/>
          <w:b/>
          <w:bCs/>
          <w:color w:val="00B150"/>
          <w:sz w:val="36"/>
          <w:szCs w:val="36"/>
          <w:lang w:eastAsia="en-US"/>
        </w:rPr>
      </w:pPr>
      <w:r>
        <w:rPr>
          <w:rFonts w:ascii="Calibri,Bold" w:eastAsia="Calibri" w:hAnsi="Calibri,Bold" w:cs="Calibri,Bold"/>
          <w:b/>
          <w:bCs/>
          <w:color w:val="00B150"/>
          <w:sz w:val="36"/>
          <w:szCs w:val="36"/>
          <w:lang w:eastAsia="en-US"/>
        </w:rPr>
        <w:t>PROGRAMMA DI SVILUPPO RURALE</w:t>
      </w:r>
    </w:p>
    <w:p w14:paraId="6B4F054E" w14:textId="50CE3B68" w:rsidR="00CA339B" w:rsidRDefault="00CA339B" w:rsidP="00CA339B">
      <w:pPr>
        <w:suppressAutoHyphens/>
        <w:autoSpaceDE w:val="0"/>
        <w:spacing w:after="120" w:line="276" w:lineRule="auto"/>
        <w:jc w:val="center"/>
        <w:rPr>
          <w:rFonts w:ascii="Calibri,Bold" w:eastAsia="Calibri" w:hAnsi="Calibri,Bold" w:cs="Calibri,Bold"/>
          <w:b/>
          <w:bCs/>
          <w:color w:val="00B150"/>
          <w:sz w:val="36"/>
          <w:szCs w:val="36"/>
          <w:lang w:eastAsia="en-US"/>
        </w:rPr>
      </w:pPr>
      <w:r>
        <w:rPr>
          <w:noProof/>
        </w:rPr>
        <mc:AlternateContent>
          <mc:Choice Requires="wps">
            <w:drawing>
              <wp:anchor distT="0" distB="0" distL="114300" distR="114300" simplePos="0" relativeHeight="251658240" behindDoc="0" locked="0" layoutInCell="1" allowOverlap="1" wp14:anchorId="2142B00C" wp14:editId="4817B6D7">
                <wp:simplePos x="0" y="0"/>
                <wp:positionH relativeFrom="column">
                  <wp:posOffset>-363855</wp:posOffset>
                </wp:positionH>
                <wp:positionV relativeFrom="paragraph">
                  <wp:posOffset>654685</wp:posOffset>
                </wp:positionV>
                <wp:extent cx="6542405" cy="2644140"/>
                <wp:effectExtent l="0" t="0" r="0" b="381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4414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88125"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422F388A"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2898E6A4" w14:textId="77777777" w:rsidR="00CA339B" w:rsidRDefault="00CA339B" w:rsidP="00CA339B">
                            <w:pPr>
                              <w:pStyle w:val="NormaleWeb"/>
                              <w:jc w:val="center"/>
                              <w:rPr>
                                <w:rFonts w:cs="Arial"/>
                                <w:b/>
                                <w:bCs/>
                                <w:color w:val="FFFFFF" w:themeColor="background1"/>
                                <w:sz w:val="22"/>
                                <w:szCs w:val="36"/>
                              </w:rPr>
                            </w:pPr>
                          </w:p>
                          <w:p w14:paraId="0CD4F99F"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61790CA5"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7BE70582" w14:textId="77777777" w:rsidR="00CA339B" w:rsidRDefault="00CA339B" w:rsidP="00CA339B">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2B00C" id="_x0000_t202" coordsize="21600,21600" o:spt="202" path="m,l,21600r21600,l21600,xe">
                <v:stroke joinstyle="miter"/>
                <v:path gradientshapeok="t" o:connecttype="rect"/>
              </v:shapetype>
              <v:shape id="Casella di testo 12" o:spid="_x0000_s1026" type="#_x0000_t202" style="position:absolute;left:0;text-align:left;margin-left:-28.65pt;margin-top:51.55pt;width:515.15pt;height:2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" fillcolor="#00b050" stroked="f">
                <v:textbox>
                  <w:txbxContent>
                    <w:p w14:paraId="16688125"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422F388A"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2898E6A4" w14:textId="77777777" w:rsidR="00CA339B" w:rsidRDefault="00CA339B" w:rsidP="00CA339B">
                      <w:pPr>
                        <w:pStyle w:val="NormaleWeb"/>
                        <w:jc w:val="center"/>
                        <w:rPr>
                          <w:rFonts w:cs="Arial"/>
                          <w:b/>
                          <w:bCs/>
                          <w:color w:val="FFFFFF" w:themeColor="background1"/>
                          <w:sz w:val="22"/>
                          <w:szCs w:val="36"/>
                        </w:rPr>
                      </w:pPr>
                    </w:p>
                    <w:p w14:paraId="0CD4F99F"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61790CA5" w14:textId="77777777" w:rsidR="00CA339B" w:rsidRDefault="00CA339B" w:rsidP="00CA339B">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7BE70582" w14:textId="77777777" w:rsidR="00CA339B" w:rsidRDefault="00CA339B" w:rsidP="00CA339B">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v:textbox>
                <w10:wrap type="square"/>
              </v:shape>
            </w:pict>
          </mc:Fallback>
        </mc:AlternateContent>
      </w:r>
      <w:r>
        <w:rPr>
          <w:rFonts w:ascii="Calibri,Bold" w:eastAsia="Calibri" w:hAnsi="Calibri,Bold" w:cs="Calibri,Bold"/>
          <w:b/>
          <w:bCs/>
          <w:color w:val="00B150"/>
          <w:sz w:val="36"/>
          <w:szCs w:val="36"/>
          <w:lang w:eastAsia="en-US"/>
        </w:rPr>
        <w:t>SARDEGNA 2014-2020</w:t>
      </w:r>
    </w:p>
    <w:p w14:paraId="518B81FD" w14:textId="77777777" w:rsidR="00CA339B" w:rsidRDefault="00CA339B" w:rsidP="00CA339B">
      <w:pPr>
        <w:suppressAutoHyphens/>
        <w:autoSpaceDE w:val="0"/>
        <w:spacing w:after="120" w:line="276" w:lineRule="auto"/>
        <w:jc w:val="center"/>
        <w:rPr>
          <w:rFonts w:ascii="Calibri,Bold" w:eastAsia="Calibri" w:hAnsi="Calibri,Bold" w:cs="Calibri,Bold"/>
          <w:b/>
          <w:bCs/>
          <w:color w:val="00B150"/>
          <w:sz w:val="36"/>
          <w:szCs w:val="36"/>
          <w:lang w:eastAsia="en-US"/>
        </w:rPr>
      </w:pPr>
    </w:p>
    <w:p w14:paraId="70069C1A" w14:textId="77777777" w:rsidR="00CA339B" w:rsidRDefault="00CA339B" w:rsidP="00CA339B">
      <w:pPr>
        <w:pStyle w:val="Normale1"/>
        <w:jc w:val="both"/>
        <w:rPr>
          <w:rFonts w:ascii="Calibri" w:eastAsia="Calibri" w:hAnsi="Calibri" w:cs="Calibri"/>
        </w:rPr>
      </w:pPr>
    </w:p>
    <w:p w14:paraId="29E8DE68" w14:textId="4496AB31" w:rsidR="00CA339B" w:rsidRDefault="00CA339B" w:rsidP="00CA339B">
      <w:pPr>
        <w:pBdr>
          <w:top w:val="single" w:sz="4" w:space="1" w:color="auto"/>
          <w:bottom w:val="single" w:sz="4" w:space="1" w:color="auto"/>
        </w:pBdr>
        <w:jc w:val="center"/>
        <w:rPr>
          <w:rFonts w:ascii="Calibri" w:eastAsia="Calibri" w:hAnsi="Calibri" w:cs="Calibri"/>
          <w:sz w:val="24"/>
        </w:rPr>
      </w:pPr>
      <w:r>
        <w:rPr>
          <w:rFonts w:ascii="Calibri" w:eastAsia="Calibri" w:hAnsi="Calibri" w:cs="Calibri"/>
          <w:b/>
          <w:sz w:val="28"/>
          <w:szCs w:val="28"/>
        </w:rPr>
        <w:t>Allegato M – Demarcazione con programmi OCM</w:t>
      </w:r>
    </w:p>
    <w:p w14:paraId="59831D18" w14:textId="633256EF" w:rsidR="00CA339B" w:rsidRDefault="00CA339B">
      <w:pPr>
        <w:rPr>
          <w:rFonts w:ascii="Calibri" w:eastAsia="Calibri" w:hAnsi="Calibri" w:cs="Calibri"/>
          <w:b/>
          <w:color w:val="0D0D0D" w:themeColor="text1" w:themeTint="F2"/>
          <w:sz w:val="40"/>
          <w:szCs w:val="28"/>
        </w:rPr>
      </w:pPr>
      <w:r>
        <w:rPr>
          <w:rFonts w:ascii="Calibri" w:eastAsia="Calibri" w:hAnsi="Calibri" w:cs="Calibri"/>
          <w:b/>
          <w:color w:val="0D0D0D" w:themeColor="text1" w:themeTint="F2"/>
          <w:sz w:val="40"/>
          <w:szCs w:val="28"/>
        </w:rPr>
        <w:br w:type="page"/>
      </w:r>
    </w:p>
    <w:p w14:paraId="1D3DEA64" w14:textId="77777777" w:rsidR="00F030A8" w:rsidRPr="00F030A8" w:rsidRDefault="00F030A8" w:rsidP="00F030A8">
      <w:pPr>
        <w:jc w:val="center"/>
        <w:rPr>
          <w:rFonts w:ascii="Calibri" w:eastAsia="Calibri" w:hAnsi="Calibri" w:cs="Calibri"/>
          <w:b/>
          <w:color w:val="0D0D0D" w:themeColor="text1" w:themeTint="F2"/>
          <w:sz w:val="40"/>
          <w:szCs w:val="28"/>
        </w:rPr>
      </w:pPr>
    </w:p>
    <w:p w14:paraId="3E32445B" w14:textId="311381A3" w:rsidR="00F030A8" w:rsidRDefault="003939FC" w:rsidP="00E129BB">
      <w:pPr>
        <w:jc w:val="center"/>
        <w:rPr>
          <w:rFonts w:ascii="Calibri" w:eastAsia="Calibri" w:hAnsi="Calibri" w:cs="Calibri"/>
          <w:color w:val="0D0D0D" w:themeColor="text1" w:themeTint="F2"/>
          <w:sz w:val="24"/>
        </w:rPr>
      </w:pPr>
      <w:r w:rsidRPr="003939FC">
        <w:rPr>
          <w:rFonts w:ascii="Calibri" w:eastAsia="Calibri" w:hAnsi="Calibri" w:cs="Calibri"/>
          <w:b/>
          <w:color w:val="0D0D0D" w:themeColor="text1" w:themeTint="F2"/>
          <w:sz w:val="40"/>
          <w:szCs w:val="28"/>
        </w:rPr>
        <w:t>DEMARCAZIONE CON PROGRAMMI OCM</w:t>
      </w:r>
    </w:p>
    <w:p w14:paraId="114BE8EF" w14:textId="77777777" w:rsidR="00F030A8" w:rsidRDefault="00F030A8" w:rsidP="00E129BB">
      <w:pPr>
        <w:jc w:val="center"/>
        <w:rPr>
          <w:rFonts w:ascii="Calibri" w:eastAsia="Calibri" w:hAnsi="Calibri" w:cs="Calibri"/>
          <w:color w:val="0D0D0D" w:themeColor="text1" w:themeTint="F2"/>
          <w:sz w:val="24"/>
        </w:rPr>
      </w:pPr>
    </w:p>
    <w:tbl>
      <w:tblPr>
        <w:tblStyle w:val="TableNormal"/>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0"/>
        <w:gridCol w:w="3529"/>
        <w:gridCol w:w="4311"/>
      </w:tblGrid>
      <w:tr w:rsidR="003939FC" w14:paraId="20CB0B04" w14:textId="77777777" w:rsidTr="00CB3D23">
        <w:trPr>
          <w:trHeight w:val="378"/>
        </w:trPr>
        <w:tc>
          <w:tcPr>
            <w:tcW w:w="1360" w:type="dxa"/>
          </w:tcPr>
          <w:p w14:paraId="5DD5DAEC" w14:textId="77777777" w:rsidR="003939FC" w:rsidRDefault="003939FC" w:rsidP="00D11916">
            <w:pPr>
              <w:pStyle w:val="TableParagraph"/>
              <w:spacing w:line="210" w:lineRule="exact"/>
              <w:ind w:left="110"/>
              <w:rPr>
                <w:b/>
                <w:sz w:val="20"/>
              </w:rPr>
            </w:pPr>
            <w:r>
              <w:rPr>
                <w:b/>
                <w:sz w:val="20"/>
              </w:rPr>
              <w:t>COMPARTO</w:t>
            </w:r>
          </w:p>
        </w:tc>
        <w:tc>
          <w:tcPr>
            <w:tcW w:w="3529" w:type="dxa"/>
          </w:tcPr>
          <w:p w14:paraId="703C7842" w14:textId="0D694D09" w:rsidR="003939FC" w:rsidRDefault="003939FC" w:rsidP="00D11916">
            <w:pPr>
              <w:pStyle w:val="TableParagraph"/>
              <w:spacing w:line="210" w:lineRule="exact"/>
              <w:ind w:left="422"/>
              <w:rPr>
                <w:b/>
                <w:sz w:val="20"/>
              </w:rPr>
            </w:pPr>
            <w:r>
              <w:rPr>
                <w:b/>
                <w:sz w:val="20"/>
              </w:rPr>
              <w:t xml:space="preserve">INVESTIMENTI </w:t>
            </w:r>
            <w:r w:rsidR="00B73A15">
              <w:rPr>
                <w:b/>
                <w:sz w:val="20"/>
              </w:rPr>
              <w:t>INTERVENTO</w:t>
            </w:r>
            <w:r>
              <w:rPr>
                <w:b/>
                <w:sz w:val="20"/>
              </w:rPr>
              <w:t xml:space="preserve"> </w:t>
            </w:r>
            <w:r w:rsidR="00D354B3">
              <w:rPr>
                <w:b/>
                <w:sz w:val="20"/>
              </w:rPr>
              <w:t>19.2.1.</w:t>
            </w:r>
            <w:r>
              <w:rPr>
                <w:b/>
                <w:sz w:val="20"/>
              </w:rPr>
              <w:t>4.2</w:t>
            </w:r>
            <w:r w:rsidR="00B73A15">
              <w:rPr>
                <w:b/>
                <w:sz w:val="20"/>
              </w:rPr>
              <w:t>.1.1.2</w:t>
            </w:r>
          </w:p>
        </w:tc>
        <w:tc>
          <w:tcPr>
            <w:tcW w:w="4311" w:type="dxa"/>
          </w:tcPr>
          <w:p w14:paraId="5ADE64BA" w14:textId="77777777" w:rsidR="003939FC" w:rsidRDefault="003939FC" w:rsidP="00D11916">
            <w:pPr>
              <w:pStyle w:val="TableParagraph"/>
              <w:spacing w:line="210" w:lineRule="exact"/>
              <w:ind w:left="1291"/>
              <w:rPr>
                <w:b/>
                <w:sz w:val="20"/>
              </w:rPr>
            </w:pPr>
            <w:r>
              <w:rPr>
                <w:b/>
                <w:sz w:val="20"/>
              </w:rPr>
              <w:t>INVESTIMENTI OCM</w:t>
            </w:r>
          </w:p>
        </w:tc>
      </w:tr>
      <w:tr w:rsidR="003939FC" w:rsidRPr="002E27F0" w14:paraId="127FE5B7" w14:textId="77777777" w:rsidTr="00CB3D23">
        <w:trPr>
          <w:trHeight w:val="1885"/>
        </w:trPr>
        <w:tc>
          <w:tcPr>
            <w:tcW w:w="1360" w:type="dxa"/>
          </w:tcPr>
          <w:p w14:paraId="28724AF5" w14:textId="77777777" w:rsidR="003939FC" w:rsidRDefault="003939FC" w:rsidP="00D11916">
            <w:pPr>
              <w:pStyle w:val="TableParagraph"/>
              <w:rPr>
                <w:b/>
              </w:rPr>
            </w:pPr>
          </w:p>
          <w:p w14:paraId="43B25CD0" w14:textId="77777777" w:rsidR="003939FC" w:rsidRDefault="003939FC" w:rsidP="00D11916">
            <w:pPr>
              <w:pStyle w:val="TableParagraph"/>
              <w:spacing w:before="6"/>
              <w:rPr>
                <w:b/>
                <w:sz w:val="17"/>
              </w:rPr>
            </w:pPr>
          </w:p>
          <w:p w14:paraId="2C9F802A" w14:textId="77777777" w:rsidR="003939FC" w:rsidRDefault="003939FC" w:rsidP="00D11916">
            <w:pPr>
              <w:pStyle w:val="TableParagraph"/>
              <w:spacing w:before="1"/>
              <w:ind w:left="110"/>
              <w:rPr>
                <w:sz w:val="20"/>
              </w:rPr>
            </w:pPr>
            <w:r>
              <w:rPr>
                <w:sz w:val="20"/>
              </w:rPr>
              <w:t>Ortofrutta</w:t>
            </w:r>
          </w:p>
        </w:tc>
        <w:tc>
          <w:tcPr>
            <w:tcW w:w="3529" w:type="dxa"/>
          </w:tcPr>
          <w:p w14:paraId="7E04949C" w14:textId="77777777" w:rsidR="003939FC" w:rsidRPr="002E27F0" w:rsidRDefault="003939FC" w:rsidP="00D11916">
            <w:pPr>
              <w:pStyle w:val="TableParagraph"/>
              <w:spacing w:before="6"/>
              <w:rPr>
                <w:b/>
                <w:sz w:val="29"/>
              </w:rPr>
            </w:pPr>
          </w:p>
          <w:p w14:paraId="10C61E35" w14:textId="77777777" w:rsidR="003939FC" w:rsidRPr="002E27F0" w:rsidRDefault="003939FC" w:rsidP="00D11916">
            <w:pPr>
              <w:pStyle w:val="TableParagraph"/>
              <w:ind w:left="105" w:right="186"/>
              <w:rPr>
                <w:sz w:val="20"/>
              </w:rPr>
            </w:pPr>
            <w:r w:rsidRPr="002E27F0">
              <w:rPr>
                <w:sz w:val="20"/>
              </w:rPr>
              <w:t>Per le OP/AOP: investimenti di dimensione finanziaria superiore a € 200.000.</w:t>
            </w:r>
          </w:p>
        </w:tc>
        <w:tc>
          <w:tcPr>
            <w:tcW w:w="4311" w:type="dxa"/>
          </w:tcPr>
          <w:p w14:paraId="1B81A2B6" w14:textId="77777777" w:rsidR="003939FC" w:rsidRPr="002E27F0" w:rsidRDefault="003939FC" w:rsidP="00D11916">
            <w:pPr>
              <w:pStyle w:val="TableParagraph"/>
              <w:spacing w:before="6"/>
              <w:rPr>
                <w:b/>
                <w:sz w:val="29"/>
              </w:rPr>
            </w:pPr>
          </w:p>
          <w:p w14:paraId="574BD038" w14:textId="77777777" w:rsidR="003939FC" w:rsidRPr="002E27F0" w:rsidRDefault="003939FC" w:rsidP="00D11916">
            <w:pPr>
              <w:pStyle w:val="TableParagraph"/>
              <w:ind w:left="110" w:right="560"/>
              <w:rPr>
                <w:sz w:val="20"/>
              </w:rPr>
            </w:pPr>
            <w:r w:rsidRPr="002E27F0">
              <w:rPr>
                <w:sz w:val="20"/>
              </w:rPr>
              <w:t>Per le OP/AOP: investimenti di dimensione finanziaria inferiori a € 200.000.</w:t>
            </w:r>
          </w:p>
        </w:tc>
      </w:tr>
      <w:tr w:rsidR="003939FC" w:rsidRPr="002E27F0" w14:paraId="27ABF481" w14:textId="77777777" w:rsidTr="00CB3D23">
        <w:trPr>
          <w:trHeight w:val="2044"/>
        </w:trPr>
        <w:tc>
          <w:tcPr>
            <w:tcW w:w="1360" w:type="dxa"/>
          </w:tcPr>
          <w:p w14:paraId="4F9C4A23" w14:textId="77777777" w:rsidR="003939FC" w:rsidRPr="002E27F0" w:rsidRDefault="003939FC" w:rsidP="00D11916">
            <w:pPr>
              <w:pStyle w:val="TableParagraph"/>
              <w:rPr>
                <w:b/>
              </w:rPr>
            </w:pPr>
          </w:p>
          <w:p w14:paraId="39D50472" w14:textId="77777777" w:rsidR="003939FC" w:rsidRPr="002E27F0" w:rsidRDefault="003939FC" w:rsidP="00D11916">
            <w:pPr>
              <w:pStyle w:val="TableParagraph"/>
              <w:spacing w:before="8"/>
              <w:rPr>
                <w:b/>
                <w:sz w:val="21"/>
              </w:rPr>
            </w:pPr>
          </w:p>
          <w:p w14:paraId="3C185A30" w14:textId="77777777" w:rsidR="003939FC" w:rsidRDefault="003939FC" w:rsidP="00D11916">
            <w:pPr>
              <w:pStyle w:val="TableParagraph"/>
              <w:spacing w:before="1"/>
              <w:ind w:left="110"/>
              <w:rPr>
                <w:sz w:val="20"/>
              </w:rPr>
            </w:pPr>
            <w:r>
              <w:rPr>
                <w:sz w:val="20"/>
              </w:rPr>
              <w:t>Olio di oliva</w:t>
            </w:r>
          </w:p>
        </w:tc>
        <w:tc>
          <w:tcPr>
            <w:tcW w:w="3529" w:type="dxa"/>
          </w:tcPr>
          <w:p w14:paraId="0D48B5F0" w14:textId="77777777" w:rsidR="003939FC" w:rsidRPr="002E27F0" w:rsidRDefault="003939FC" w:rsidP="00D11916">
            <w:pPr>
              <w:pStyle w:val="TableParagraph"/>
              <w:tabs>
                <w:tab w:val="left" w:pos="1295"/>
                <w:tab w:val="left" w:pos="1934"/>
                <w:tab w:val="left" w:pos="3739"/>
              </w:tabs>
              <w:spacing w:before="158"/>
              <w:ind w:left="105" w:right="91"/>
              <w:rPr>
                <w:sz w:val="20"/>
              </w:rPr>
            </w:pPr>
            <w:r w:rsidRPr="002E27F0">
              <w:rPr>
                <w:sz w:val="20"/>
              </w:rPr>
              <w:t>Impianti</w:t>
            </w:r>
            <w:r w:rsidRPr="002E27F0">
              <w:rPr>
                <w:sz w:val="20"/>
              </w:rPr>
              <w:tab/>
            </w:r>
            <w:r w:rsidRPr="002E27F0">
              <w:rPr>
                <w:spacing w:val="-4"/>
                <w:sz w:val="20"/>
              </w:rPr>
              <w:t>di</w:t>
            </w:r>
            <w:r w:rsidRPr="002E27F0">
              <w:rPr>
                <w:spacing w:val="-4"/>
                <w:sz w:val="20"/>
              </w:rPr>
              <w:tab/>
            </w:r>
            <w:r w:rsidRPr="002E27F0">
              <w:rPr>
                <w:sz w:val="20"/>
              </w:rPr>
              <w:t>trasformazione</w:t>
            </w:r>
            <w:r w:rsidRPr="002E27F0">
              <w:rPr>
                <w:sz w:val="20"/>
              </w:rPr>
              <w:tab/>
              <w:t>e/o commercializzazione di importo superiore</w:t>
            </w:r>
            <w:r w:rsidRPr="002E27F0">
              <w:rPr>
                <w:spacing w:val="52"/>
                <w:sz w:val="20"/>
              </w:rPr>
              <w:t xml:space="preserve"> </w:t>
            </w:r>
            <w:r w:rsidRPr="002E27F0">
              <w:rPr>
                <w:sz w:val="20"/>
              </w:rPr>
              <w:t>a</w:t>
            </w:r>
          </w:p>
          <w:p w14:paraId="39786B24" w14:textId="77777777" w:rsidR="003939FC" w:rsidRPr="002E27F0" w:rsidRDefault="003939FC" w:rsidP="00D11916">
            <w:pPr>
              <w:pStyle w:val="TableParagraph"/>
              <w:ind w:left="105" w:right="47"/>
              <w:rPr>
                <w:sz w:val="20"/>
              </w:rPr>
            </w:pPr>
            <w:r w:rsidRPr="002E27F0">
              <w:rPr>
                <w:sz w:val="20"/>
              </w:rPr>
              <w:t>€ 200.000,00 sostenuti direttamente da OP, o da soggetti non associati alle OP.</w:t>
            </w:r>
          </w:p>
        </w:tc>
        <w:tc>
          <w:tcPr>
            <w:tcW w:w="4311" w:type="dxa"/>
          </w:tcPr>
          <w:p w14:paraId="5BB30B55" w14:textId="77777777" w:rsidR="003939FC" w:rsidRPr="002E27F0" w:rsidRDefault="003939FC" w:rsidP="00D11916">
            <w:pPr>
              <w:pStyle w:val="TableParagraph"/>
              <w:spacing w:before="10"/>
              <w:rPr>
                <w:b/>
                <w:sz w:val="23"/>
              </w:rPr>
            </w:pPr>
          </w:p>
          <w:p w14:paraId="7EC6B21D" w14:textId="77777777" w:rsidR="003939FC" w:rsidRPr="002E27F0" w:rsidRDefault="003939FC" w:rsidP="00D11916">
            <w:pPr>
              <w:pStyle w:val="TableParagraph"/>
              <w:spacing w:line="237" w:lineRule="auto"/>
              <w:ind w:left="110" w:right="460"/>
              <w:rPr>
                <w:sz w:val="20"/>
              </w:rPr>
            </w:pPr>
            <w:r w:rsidRPr="002E27F0">
              <w:rPr>
                <w:sz w:val="20"/>
              </w:rPr>
              <w:t>Impianti di trasformazione e/o commercializzazione di importo inferiore a € 200.000,00 sostenuti direttamente da OP.</w:t>
            </w:r>
          </w:p>
        </w:tc>
      </w:tr>
      <w:tr w:rsidR="003939FC" w14:paraId="105A14A0" w14:textId="77777777" w:rsidTr="00CB3D23">
        <w:trPr>
          <w:trHeight w:val="2044"/>
        </w:trPr>
        <w:tc>
          <w:tcPr>
            <w:tcW w:w="1360" w:type="dxa"/>
          </w:tcPr>
          <w:p w14:paraId="0ACFB6FB" w14:textId="77777777" w:rsidR="003939FC" w:rsidRPr="002E27F0" w:rsidRDefault="003939FC" w:rsidP="00D11916">
            <w:pPr>
              <w:pStyle w:val="TableParagraph"/>
              <w:rPr>
                <w:b/>
              </w:rPr>
            </w:pPr>
          </w:p>
          <w:p w14:paraId="5DAB84E9" w14:textId="77777777" w:rsidR="003939FC" w:rsidRPr="002E27F0" w:rsidRDefault="003939FC" w:rsidP="00D11916">
            <w:pPr>
              <w:pStyle w:val="TableParagraph"/>
              <w:spacing w:before="4"/>
              <w:rPr>
                <w:b/>
                <w:sz w:val="21"/>
              </w:rPr>
            </w:pPr>
          </w:p>
          <w:p w14:paraId="1816D4A9" w14:textId="77777777" w:rsidR="003939FC" w:rsidRDefault="003939FC" w:rsidP="00D11916">
            <w:pPr>
              <w:pStyle w:val="TableParagraph"/>
              <w:ind w:left="110"/>
              <w:rPr>
                <w:sz w:val="20"/>
              </w:rPr>
            </w:pPr>
            <w:r>
              <w:rPr>
                <w:sz w:val="20"/>
              </w:rPr>
              <w:t>Apicoltura</w:t>
            </w:r>
          </w:p>
        </w:tc>
        <w:tc>
          <w:tcPr>
            <w:tcW w:w="3529" w:type="dxa"/>
          </w:tcPr>
          <w:p w14:paraId="3EE90E18" w14:textId="77777777" w:rsidR="003939FC" w:rsidRPr="002E27F0" w:rsidRDefault="003939FC" w:rsidP="00D11916">
            <w:pPr>
              <w:pStyle w:val="TableParagraph"/>
              <w:spacing w:before="42"/>
              <w:ind w:left="105" w:right="175"/>
              <w:rPr>
                <w:sz w:val="20"/>
              </w:rPr>
            </w:pPr>
            <w:r w:rsidRPr="002E27F0">
              <w:rPr>
                <w:sz w:val="20"/>
              </w:rPr>
              <w:t>Investimenti per la realizzazione/ristrutturazione dei locali di conservazione e commercializzazione dei prodotti da apicoltura, compresi macchinari e attrezzature.</w:t>
            </w:r>
          </w:p>
        </w:tc>
        <w:tc>
          <w:tcPr>
            <w:tcW w:w="4311" w:type="dxa"/>
          </w:tcPr>
          <w:p w14:paraId="0DCE7920" w14:textId="77777777" w:rsidR="003939FC" w:rsidRPr="002E27F0" w:rsidRDefault="003939FC" w:rsidP="00D11916">
            <w:pPr>
              <w:pStyle w:val="TableParagraph"/>
              <w:rPr>
                <w:b/>
              </w:rPr>
            </w:pPr>
          </w:p>
          <w:p w14:paraId="45098243" w14:textId="77777777" w:rsidR="003939FC" w:rsidRPr="002E27F0" w:rsidRDefault="003939FC" w:rsidP="00D11916">
            <w:pPr>
              <w:pStyle w:val="TableParagraph"/>
              <w:spacing w:before="4"/>
              <w:rPr>
                <w:b/>
                <w:sz w:val="21"/>
              </w:rPr>
            </w:pPr>
          </w:p>
          <w:p w14:paraId="18D722AD" w14:textId="77777777" w:rsidR="003939FC" w:rsidRDefault="003939FC" w:rsidP="00D11916">
            <w:pPr>
              <w:pStyle w:val="TableParagraph"/>
              <w:ind w:left="110"/>
              <w:rPr>
                <w:sz w:val="20"/>
              </w:rPr>
            </w:pPr>
            <w:r>
              <w:rPr>
                <w:sz w:val="20"/>
              </w:rPr>
              <w:t>Laboratori di analisi</w:t>
            </w:r>
          </w:p>
        </w:tc>
      </w:tr>
      <w:tr w:rsidR="003939FC" w:rsidRPr="002E27F0" w14:paraId="3677A068" w14:textId="77777777" w:rsidTr="00CB3D23">
        <w:trPr>
          <w:trHeight w:val="4300"/>
        </w:trPr>
        <w:tc>
          <w:tcPr>
            <w:tcW w:w="1360" w:type="dxa"/>
          </w:tcPr>
          <w:p w14:paraId="6AD6066E" w14:textId="77777777" w:rsidR="003939FC" w:rsidRDefault="003939FC" w:rsidP="00D11916">
            <w:pPr>
              <w:pStyle w:val="TableParagraph"/>
              <w:rPr>
                <w:b/>
              </w:rPr>
            </w:pPr>
          </w:p>
          <w:p w14:paraId="2FC18EAA" w14:textId="77777777" w:rsidR="003939FC" w:rsidRDefault="003939FC" w:rsidP="00D11916">
            <w:pPr>
              <w:pStyle w:val="TableParagraph"/>
              <w:rPr>
                <w:b/>
              </w:rPr>
            </w:pPr>
          </w:p>
          <w:p w14:paraId="2F8AEE65" w14:textId="77777777" w:rsidR="003939FC" w:rsidRDefault="003939FC" w:rsidP="00D11916">
            <w:pPr>
              <w:pStyle w:val="TableParagraph"/>
              <w:rPr>
                <w:b/>
              </w:rPr>
            </w:pPr>
          </w:p>
          <w:p w14:paraId="7FE85BF9" w14:textId="77777777" w:rsidR="003939FC" w:rsidRDefault="003939FC" w:rsidP="00D11916">
            <w:pPr>
              <w:pStyle w:val="TableParagraph"/>
              <w:spacing w:before="9"/>
              <w:rPr>
                <w:b/>
              </w:rPr>
            </w:pPr>
          </w:p>
          <w:p w14:paraId="101D6402" w14:textId="77777777" w:rsidR="003939FC" w:rsidRDefault="003939FC" w:rsidP="00D11916">
            <w:pPr>
              <w:pStyle w:val="TableParagraph"/>
              <w:spacing w:before="1"/>
              <w:ind w:left="110"/>
              <w:rPr>
                <w:sz w:val="20"/>
              </w:rPr>
            </w:pPr>
            <w:r>
              <w:rPr>
                <w:sz w:val="20"/>
              </w:rPr>
              <w:t>Vitivinicolo</w:t>
            </w:r>
          </w:p>
        </w:tc>
        <w:tc>
          <w:tcPr>
            <w:tcW w:w="3529" w:type="dxa"/>
          </w:tcPr>
          <w:p w14:paraId="2F7489A9" w14:textId="77777777" w:rsidR="003939FC" w:rsidRDefault="003939FC" w:rsidP="00D11916">
            <w:pPr>
              <w:pStyle w:val="TableParagraph"/>
              <w:spacing w:before="1"/>
              <w:ind w:left="105" w:right="91"/>
              <w:jc w:val="both"/>
              <w:rPr>
                <w:sz w:val="20"/>
              </w:rPr>
            </w:pPr>
            <w:r w:rsidRPr="002E27F0">
              <w:rPr>
                <w:sz w:val="20"/>
              </w:rPr>
              <w:t xml:space="preserve">Investimenti materiali o immateriali nella realizzazione, ristrutturazione e/o ampliamento delle strutture vinicole nonché in strutture di commercializzazione realizzate </w:t>
            </w:r>
            <w:r w:rsidRPr="002E27F0">
              <w:rPr>
                <w:spacing w:val="-3"/>
                <w:sz w:val="20"/>
              </w:rPr>
              <w:t xml:space="preserve">nel </w:t>
            </w:r>
            <w:r w:rsidRPr="002E27F0">
              <w:rPr>
                <w:sz w:val="20"/>
              </w:rPr>
              <w:t>territorio regionale con un importo di progetto superiore a 400.000 euro</w:t>
            </w:r>
            <w:r w:rsidR="00CB3D23">
              <w:rPr>
                <w:sz w:val="20"/>
              </w:rPr>
              <w:t>.</w:t>
            </w:r>
          </w:p>
          <w:p w14:paraId="23CE2A6A" w14:textId="77777777" w:rsidR="00CB3D23" w:rsidRDefault="00CB3D23" w:rsidP="00D11916">
            <w:pPr>
              <w:pStyle w:val="TableParagraph"/>
              <w:spacing w:before="1"/>
              <w:ind w:left="105" w:right="91"/>
              <w:jc w:val="both"/>
              <w:rPr>
                <w:sz w:val="20"/>
              </w:rPr>
            </w:pPr>
          </w:p>
          <w:p w14:paraId="54924B18" w14:textId="373DDA4F" w:rsidR="00CB3D23" w:rsidRPr="002E27F0" w:rsidRDefault="00CB3D23" w:rsidP="00D11916">
            <w:pPr>
              <w:pStyle w:val="TableParagraph"/>
              <w:spacing w:before="1"/>
              <w:ind w:left="105" w:right="91"/>
              <w:jc w:val="both"/>
              <w:rPr>
                <w:sz w:val="20"/>
              </w:rPr>
            </w:pPr>
            <w:r w:rsidRPr="008830DF">
              <w:rPr>
                <w:sz w:val="20"/>
              </w:rPr>
              <w:t>Investimento per l’innovazione nel settore vitivinicolo: investimenti materiali o immateriali destinati allo sviluppo di nuovi prodotti, trattamenti e tecnologie riguardanti i prodotti di cui all’allegato VII, parte II del Reg. (UE) n. 1308/2013</w:t>
            </w:r>
          </w:p>
        </w:tc>
        <w:tc>
          <w:tcPr>
            <w:tcW w:w="4311" w:type="dxa"/>
          </w:tcPr>
          <w:p w14:paraId="0B57B78E" w14:textId="77777777" w:rsidR="003939FC" w:rsidRPr="002E27F0" w:rsidRDefault="003939FC" w:rsidP="00D11916">
            <w:pPr>
              <w:pStyle w:val="TableParagraph"/>
              <w:spacing w:before="105"/>
              <w:ind w:left="110"/>
              <w:rPr>
                <w:sz w:val="20"/>
              </w:rPr>
            </w:pPr>
            <w:r w:rsidRPr="002E27F0">
              <w:rPr>
                <w:sz w:val="20"/>
              </w:rPr>
              <w:t>Investimenti materiali o immateriali in infrastrutture vinicole nonché in strutture e strumenti di commercializzazione da realizzarsi fuori dal territorio regionale, di cui alla misura investimenti del PNSV.</w:t>
            </w:r>
          </w:p>
          <w:p w14:paraId="3F298246" w14:textId="77777777" w:rsidR="003939FC" w:rsidRPr="002E27F0" w:rsidRDefault="003939FC" w:rsidP="00D11916">
            <w:pPr>
              <w:pStyle w:val="TableParagraph"/>
              <w:ind w:left="110" w:right="337"/>
              <w:rPr>
                <w:sz w:val="20"/>
              </w:rPr>
            </w:pPr>
            <w:r w:rsidRPr="002E27F0">
              <w:rPr>
                <w:sz w:val="20"/>
              </w:rPr>
              <w:t>Investimenti materiali e immateriali, da realizzarsi nel territorio regionale e con un importo di progetto fino a 400.000 euro, di cui alla misura investimenti del PNSV</w:t>
            </w:r>
          </w:p>
        </w:tc>
      </w:tr>
    </w:tbl>
    <w:p w14:paraId="68946281" w14:textId="77777777" w:rsidR="00F030A8" w:rsidRDefault="00F030A8" w:rsidP="00E129BB">
      <w:pPr>
        <w:jc w:val="center"/>
        <w:rPr>
          <w:rFonts w:ascii="Calibri" w:eastAsia="Calibri" w:hAnsi="Calibri" w:cs="Calibri"/>
          <w:color w:val="0D0D0D" w:themeColor="text1" w:themeTint="F2"/>
          <w:sz w:val="24"/>
        </w:rPr>
      </w:pPr>
    </w:p>
    <w:p w14:paraId="03EC0E8A" w14:textId="77777777" w:rsidR="00F030A8" w:rsidRDefault="00F030A8" w:rsidP="00E129BB">
      <w:pPr>
        <w:jc w:val="center"/>
        <w:rPr>
          <w:rFonts w:ascii="Calibri" w:eastAsia="Calibri" w:hAnsi="Calibri" w:cs="Calibri"/>
          <w:color w:val="0D0D0D" w:themeColor="text1" w:themeTint="F2"/>
          <w:sz w:val="24"/>
        </w:rPr>
      </w:pPr>
    </w:p>
    <w:p w14:paraId="38A7BE37" w14:textId="77777777" w:rsidR="00F030A8" w:rsidRDefault="00F030A8" w:rsidP="00E129BB">
      <w:pPr>
        <w:jc w:val="center"/>
        <w:rPr>
          <w:rFonts w:ascii="Calibri" w:eastAsia="Calibri" w:hAnsi="Calibri" w:cs="Calibri"/>
          <w:color w:val="0D0D0D" w:themeColor="text1" w:themeTint="F2"/>
          <w:sz w:val="24"/>
        </w:rPr>
      </w:pPr>
    </w:p>
    <w:p w14:paraId="24E4195F" w14:textId="77777777" w:rsidR="00F030A8" w:rsidRDefault="00F030A8" w:rsidP="00E129BB">
      <w:pPr>
        <w:jc w:val="center"/>
        <w:rPr>
          <w:rFonts w:ascii="Calibri" w:eastAsia="Calibri" w:hAnsi="Calibri" w:cs="Calibri"/>
          <w:color w:val="0D0D0D" w:themeColor="text1" w:themeTint="F2"/>
          <w:sz w:val="24"/>
        </w:rPr>
      </w:pPr>
    </w:p>
    <w:p w14:paraId="290ADD8A" w14:textId="77777777" w:rsidR="00F030A8" w:rsidRDefault="00F030A8" w:rsidP="000309A3">
      <w:pPr>
        <w:rPr>
          <w:rFonts w:ascii="Calibri" w:eastAsia="Calibri" w:hAnsi="Calibri" w:cs="Calibri"/>
          <w:color w:val="0D0D0D" w:themeColor="text1" w:themeTint="F2"/>
          <w:sz w:val="24"/>
        </w:rPr>
      </w:pPr>
    </w:p>
    <w:sectPr w:rsidR="00F030A8" w:rsidSect="00F030A8">
      <w:headerReference w:type="even" r:id="rId11"/>
      <w:headerReference w:type="default" r:id="rId12"/>
      <w:footerReference w:type="even" r:id="rId13"/>
      <w:headerReference w:type="first" r:id="rId14"/>
      <w:footerReference w:type="first" r:id="rId15"/>
      <w:pgSz w:w="11900" w:h="16840"/>
      <w:pgMar w:top="1276" w:right="1268" w:bottom="1560" w:left="1418" w:header="1134" w:footer="18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813A" w14:textId="77777777" w:rsidR="00501B68" w:rsidRDefault="00501B68">
      <w:r>
        <w:separator/>
      </w:r>
    </w:p>
  </w:endnote>
  <w:endnote w:type="continuationSeparator" w:id="0">
    <w:p w14:paraId="22047E57" w14:textId="77777777" w:rsidR="00501B68" w:rsidRDefault="0050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EE74" w14:textId="77777777" w:rsidR="00501B68" w:rsidRDefault="00501B68">
      <w:r>
        <w:separator/>
      </w:r>
    </w:p>
  </w:footnote>
  <w:footnote w:type="continuationSeparator" w:id="0">
    <w:p w14:paraId="68AEC0EA" w14:textId="77777777" w:rsidR="00501B68" w:rsidRDefault="0050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670B25">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55B11E6E" w:rsidR="006C4079" w:rsidRDefault="00F030A8" w:rsidP="006C4079">
    <w:pPr>
      <w:rPr>
        <w:rFonts w:ascii="Bookman Old Style" w:hAnsi="Bookman Old Style"/>
      </w:rPr>
    </w:pPr>
    <w:r>
      <w:rPr>
        <w:noProof/>
      </w:rPr>
      <w:drawing>
        <wp:anchor distT="0" distB="0" distL="114300" distR="114300" simplePos="0" relativeHeight="251661824" behindDoc="0" locked="0" layoutInCell="1" allowOverlap="1" wp14:anchorId="374B05EB" wp14:editId="07938289">
          <wp:simplePos x="0" y="0"/>
          <wp:positionH relativeFrom="column">
            <wp:posOffset>5518150</wp:posOffset>
          </wp:positionH>
          <wp:positionV relativeFrom="paragraph">
            <wp:posOffset>-785495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4B1CE6A" wp14:editId="41036702">
          <wp:simplePos x="0" y="0"/>
          <wp:positionH relativeFrom="page">
            <wp:posOffset>5230495</wp:posOffset>
          </wp:positionH>
          <wp:positionV relativeFrom="paragraph">
            <wp:posOffset>-400050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AB0E537" wp14:editId="3A939C22">
          <wp:simplePos x="0" y="0"/>
          <wp:positionH relativeFrom="column">
            <wp:posOffset>3619500</wp:posOffset>
          </wp:positionH>
          <wp:positionV relativeFrom="paragraph">
            <wp:posOffset>-506730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8BEDEB" wp14:editId="4BD9871D">
          <wp:simplePos x="0" y="0"/>
          <wp:positionH relativeFrom="column">
            <wp:posOffset>2332990</wp:posOffset>
          </wp:positionH>
          <wp:positionV relativeFrom="paragraph">
            <wp:posOffset>-504825</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33887B11" wp14:editId="7321374D">
          <wp:simplePos x="0" y="0"/>
          <wp:positionH relativeFrom="column">
            <wp:posOffset>1252220</wp:posOffset>
          </wp:positionH>
          <wp:positionV relativeFrom="paragraph">
            <wp:posOffset>-401320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5C538805">
          <wp:simplePos x="0" y="0"/>
          <wp:positionH relativeFrom="column">
            <wp:posOffset>-567055</wp:posOffset>
          </wp:positionH>
          <wp:positionV relativeFrom="paragraph">
            <wp:posOffset>-356235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5680" behindDoc="0" locked="0" layoutInCell="1" allowOverlap="1" wp14:anchorId="13883AE1" wp14:editId="0B961C2F">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608" behindDoc="0" locked="0" layoutInCell="1" allowOverlap="1" wp14:anchorId="11083136" wp14:editId="18C3EDE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3A91365" wp14:editId="2F8B4F13">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3036295" wp14:editId="0E656BAA">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1CACE3A8" wp14:editId="63E0117A">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0800" behindDoc="0" locked="0" layoutInCell="1" allowOverlap="1" wp14:anchorId="1B07CCF2" wp14:editId="260B626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1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3516B25"/>
    <w:multiLevelType w:val="hybridMultilevel"/>
    <w:tmpl w:val="9F946BD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F84F94"/>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1F63AE"/>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4D34C0B"/>
    <w:multiLevelType w:val="hybridMultilevel"/>
    <w:tmpl w:val="235CF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2493C87"/>
    <w:multiLevelType w:val="hybridMultilevel"/>
    <w:tmpl w:val="7D5EDF52"/>
    <w:lvl w:ilvl="0" w:tplc="9DA412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446EB2"/>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6"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1CF2667"/>
    <w:multiLevelType w:val="hybridMultilevel"/>
    <w:tmpl w:val="2AAC7A30"/>
    <w:lvl w:ilvl="0" w:tplc="04100019">
      <w:start w:val="1"/>
      <w:numFmt w:val="lowerLetter"/>
      <w:lvlText w:val="%1."/>
      <w:lvlJc w:val="left"/>
      <w:pPr>
        <w:ind w:left="927"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36C2DE7"/>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5395551C"/>
    <w:multiLevelType w:val="hybridMultilevel"/>
    <w:tmpl w:val="34BEBE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CE0C91"/>
    <w:multiLevelType w:val="hybridMultilevel"/>
    <w:tmpl w:val="9A3456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C4585D"/>
    <w:multiLevelType w:val="hybridMultilevel"/>
    <w:tmpl w:val="A2D8E49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5"/>
  </w:num>
  <w:num w:numId="2">
    <w:abstractNumId w:val="8"/>
  </w:num>
  <w:num w:numId="3">
    <w:abstractNumId w:val="2"/>
  </w:num>
  <w:num w:numId="4">
    <w:abstractNumId w:val="4"/>
  </w:num>
  <w:num w:numId="5">
    <w:abstractNumId w:val="16"/>
  </w:num>
  <w:num w:numId="6">
    <w:abstractNumId w:val="13"/>
  </w:num>
  <w:num w:numId="7">
    <w:abstractNumId w:val="9"/>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4"/>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09A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77ECA"/>
    <w:rsid w:val="00182424"/>
    <w:rsid w:val="00187FBB"/>
    <w:rsid w:val="00194802"/>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26C29"/>
    <w:rsid w:val="00227425"/>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1395"/>
    <w:rsid w:val="002E4B8C"/>
    <w:rsid w:val="002E689F"/>
    <w:rsid w:val="002E6EC8"/>
    <w:rsid w:val="002F62A5"/>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39FC"/>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1DE3"/>
    <w:rsid w:val="00442083"/>
    <w:rsid w:val="004516E3"/>
    <w:rsid w:val="00453539"/>
    <w:rsid w:val="00453B94"/>
    <w:rsid w:val="00456B84"/>
    <w:rsid w:val="0046102E"/>
    <w:rsid w:val="004616F2"/>
    <w:rsid w:val="0046750C"/>
    <w:rsid w:val="00470178"/>
    <w:rsid w:val="00481020"/>
    <w:rsid w:val="00484F7C"/>
    <w:rsid w:val="004936FB"/>
    <w:rsid w:val="00495EC2"/>
    <w:rsid w:val="004973F9"/>
    <w:rsid w:val="004A3514"/>
    <w:rsid w:val="004A657F"/>
    <w:rsid w:val="004B08F4"/>
    <w:rsid w:val="004B2E0F"/>
    <w:rsid w:val="004B3606"/>
    <w:rsid w:val="004B6D3A"/>
    <w:rsid w:val="004C4F60"/>
    <w:rsid w:val="004D04AC"/>
    <w:rsid w:val="004D17D3"/>
    <w:rsid w:val="004D2A7C"/>
    <w:rsid w:val="004D5A0F"/>
    <w:rsid w:val="004D7DC3"/>
    <w:rsid w:val="004E18A8"/>
    <w:rsid w:val="004E5125"/>
    <w:rsid w:val="004E6E8B"/>
    <w:rsid w:val="004F2572"/>
    <w:rsid w:val="004F5686"/>
    <w:rsid w:val="00501B68"/>
    <w:rsid w:val="00504C5F"/>
    <w:rsid w:val="00511EA8"/>
    <w:rsid w:val="00515497"/>
    <w:rsid w:val="00521197"/>
    <w:rsid w:val="00523C0A"/>
    <w:rsid w:val="00530783"/>
    <w:rsid w:val="0053445E"/>
    <w:rsid w:val="0053485E"/>
    <w:rsid w:val="00536127"/>
    <w:rsid w:val="00537E8E"/>
    <w:rsid w:val="00543201"/>
    <w:rsid w:val="00543DFB"/>
    <w:rsid w:val="0054591C"/>
    <w:rsid w:val="00552D33"/>
    <w:rsid w:val="0056215C"/>
    <w:rsid w:val="005649F9"/>
    <w:rsid w:val="0056746E"/>
    <w:rsid w:val="00567D68"/>
    <w:rsid w:val="00574690"/>
    <w:rsid w:val="00591B26"/>
    <w:rsid w:val="0059205B"/>
    <w:rsid w:val="0059246C"/>
    <w:rsid w:val="005936C8"/>
    <w:rsid w:val="00595CF0"/>
    <w:rsid w:val="005A0192"/>
    <w:rsid w:val="005B3E9D"/>
    <w:rsid w:val="005B4FD6"/>
    <w:rsid w:val="005B6509"/>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349C"/>
    <w:rsid w:val="00624AB5"/>
    <w:rsid w:val="00641159"/>
    <w:rsid w:val="00641589"/>
    <w:rsid w:val="006442D8"/>
    <w:rsid w:val="006468A6"/>
    <w:rsid w:val="00653601"/>
    <w:rsid w:val="006568E0"/>
    <w:rsid w:val="0066048C"/>
    <w:rsid w:val="0066092B"/>
    <w:rsid w:val="00663A5A"/>
    <w:rsid w:val="0066439F"/>
    <w:rsid w:val="0066687D"/>
    <w:rsid w:val="00670B25"/>
    <w:rsid w:val="00672EB2"/>
    <w:rsid w:val="006754E1"/>
    <w:rsid w:val="006759C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1F58"/>
    <w:rsid w:val="00773D54"/>
    <w:rsid w:val="00774484"/>
    <w:rsid w:val="0077728C"/>
    <w:rsid w:val="00777BF1"/>
    <w:rsid w:val="007806A5"/>
    <w:rsid w:val="0078412C"/>
    <w:rsid w:val="007951B5"/>
    <w:rsid w:val="0079533E"/>
    <w:rsid w:val="007A1CD6"/>
    <w:rsid w:val="007B07F7"/>
    <w:rsid w:val="007C0E03"/>
    <w:rsid w:val="007C365F"/>
    <w:rsid w:val="007C386D"/>
    <w:rsid w:val="007C6F60"/>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D76D8"/>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0A68"/>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2A9B"/>
    <w:rsid w:val="00A47069"/>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34DD"/>
    <w:rsid w:val="00B370D6"/>
    <w:rsid w:val="00B40752"/>
    <w:rsid w:val="00B43C63"/>
    <w:rsid w:val="00B4421A"/>
    <w:rsid w:val="00B443AA"/>
    <w:rsid w:val="00B46D86"/>
    <w:rsid w:val="00B4779B"/>
    <w:rsid w:val="00B536E0"/>
    <w:rsid w:val="00B65279"/>
    <w:rsid w:val="00B65CD1"/>
    <w:rsid w:val="00B7186F"/>
    <w:rsid w:val="00B73A15"/>
    <w:rsid w:val="00B75720"/>
    <w:rsid w:val="00B76E7A"/>
    <w:rsid w:val="00B76F1D"/>
    <w:rsid w:val="00B775DC"/>
    <w:rsid w:val="00B77966"/>
    <w:rsid w:val="00B802A8"/>
    <w:rsid w:val="00B810A0"/>
    <w:rsid w:val="00B916BA"/>
    <w:rsid w:val="00B92865"/>
    <w:rsid w:val="00B944B0"/>
    <w:rsid w:val="00B9480D"/>
    <w:rsid w:val="00BA5770"/>
    <w:rsid w:val="00BB234D"/>
    <w:rsid w:val="00BB7FF2"/>
    <w:rsid w:val="00BC0178"/>
    <w:rsid w:val="00BC1680"/>
    <w:rsid w:val="00BC2AB7"/>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911FD"/>
    <w:rsid w:val="00CA1A73"/>
    <w:rsid w:val="00CA3299"/>
    <w:rsid w:val="00CA339B"/>
    <w:rsid w:val="00CA5AAE"/>
    <w:rsid w:val="00CA6C27"/>
    <w:rsid w:val="00CA7CC0"/>
    <w:rsid w:val="00CB2CF1"/>
    <w:rsid w:val="00CB3D23"/>
    <w:rsid w:val="00CC09C2"/>
    <w:rsid w:val="00CC3866"/>
    <w:rsid w:val="00CC5E18"/>
    <w:rsid w:val="00CD0C91"/>
    <w:rsid w:val="00CD6024"/>
    <w:rsid w:val="00CD6694"/>
    <w:rsid w:val="00CE14F9"/>
    <w:rsid w:val="00CE1EEB"/>
    <w:rsid w:val="00CE28ED"/>
    <w:rsid w:val="00CE3E75"/>
    <w:rsid w:val="00D11D08"/>
    <w:rsid w:val="00D2334C"/>
    <w:rsid w:val="00D300DD"/>
    <w:rsid w:val="00D30712"/>
    <w:rsid w:val="00D3159E"/>
    <w:rsid w:val="00D354B3"/>
    <w:rsid w:val="00D53C59"/>
    <w:rsid w:val="00D56860"/>
    <w:rsid w:val="00D617FB"/>
    <w:rsid w:val="00D63D98"/>
    <w:rsid w:val="00D63FDF"/>
    <w:rsid w:val="00D704FF"/>
    <w:rsid w:val="00D7092A"/>
    <w:rsid w:val="00D71B10"/>
    <w:rsid w:val="00D845C1"/>
    <w:rsid w:val="00D84D2E"/>
    <w:rsid w:val="00D90D31"/>
    <w:rsid w:val="00D93CB0"/>
    <w:rsid w:val="00DA4851"/>
    <w:rsid w:val="00DA6B31"/>
    <w:rsid w:val="00DA7275"/>
    <w:rsid w:val="00DB2AA5"/>
    <w:rsid w:val="00DB4BA6"/>
    <w:rsid w:val="00DC2CE5"/>
    <w:rsid w:val="00DC7368"/>
    <w:rsid w:val="00DD175D"/>
    <w:rsid w:val="00DD735F"/>
    <w:rsid w:val="00DE3D3A"/>
    <w:rsid w:val="00DE58CC"/>
    <w:rsid w:val="00DE6CB8"/>
    <w:rsid w:val="00DF25B3"/>
    <w:rsid w:val="00DF2A09"/>
    <w:rsid w:val="00DF3CE1"/>
    <w:rsid w:val="00E02EBA"/>
    <w:rsid w:val="00E04794"/>
    <w:rsid w:val="00E07289"/>
    <w:rsid w:val="00E116B2"/>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EF6463"/>
    <w:rsid w:val="00F0126C"/>
    <w:rsid w:val="00F02BB6"/>
    <w:rsid w:val="00F030A8"/>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0CFD"/>
    <w:rsid w:val="00F846BA"/>
    <w:rsid w:val="00F90D5F"/>
    <w:rsid w:val="00F92053"/>
    <w:rsid w:val="00F924C0"/>
    <w:rsid w:val="00F9629B"/>
    <w:rsid w:val="00F96E01"/>
    <w:rsid w:val="00F977B6"/>
    <w:rsid w:val="00FA088E"/>
    <w:rsid w:val="00FA6FF1"/>
    <w:rsid w:val="00FC1125"/>
    <w:rsid w:val="00FC288D"/>
    <w:rsid w:val="00FC4E2F"/>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character" w:styleId="Rimandocommento">
    <w:name w:val="annotation reference"/>
    <w:basedOn w:val="Carpredefinitoparagrafo"/>
    <w:uiPriority w:val="99"/>
    <w:semiHidden/>
    <w:unhideWhenUsed/>
    <w:rsid w:val="00A47069"/>
    <w:rPr>
      <w:sz w:val="16"/>
      <w:szCs w:val="16"/>
    </w:rPr>
  </w:style>
  <w:style w:type="paragraph" w:styleId="Testocommento">
    <w:name w:val="annotation text"/>
    <w:basedOn w:val="Normale"/>
    <w:link w:val="TestocommentoCarattere"/>
    <w:uiPriority w:val="99"/>
    <w:semiHidden/>
    <w:unhideWhenUsed/>
    <w:rsid w:val="00A47069"/>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A47069"/>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668">
      <w:bodyDiv w:val="1"/>
      <w:marLeft w:val="0"/>
      <w:marRight w:val="0"/>
      <w:marTop w:val="0"/>
      <w:marBottom w:val="0"/>
      <w:divBdr>
        <w:top w:val="none" w:sz="0" w:space="0" w:color="auto"/>
        <w:left w:val="none" w:sz="0" w:space="0" w:color="auto"/>
        <w:bottom w:val="none" w:sz="0" w:space="0" w:color="auto"/>
        <w:right w:val="none" w:sz="0" w:space="0" w:color="auto"/>
      </w:divBdr>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35CE9B7A4FF64B86CE61953B8655D3" ma:contentTypeVersion="10" ma:contentTypeDescription="Creare un nuovo documento." ma:contentTypeScope="" ma:versionID="a7d7978cdaa26318a059db69e3684f4d">
  <xsd:schema xmlns:xsd="http://www.w3.org/2001/XMLSchema" xmlns:xs="http://www.w3.org/2001/XMLSchema" xmlns:p="http://schemas.microsoft.com/office/2006/metadata/properties" xmlns:ns2="0e99a906-c4a2-49ed-85b1-9ae7654931f0" targetNamespace="http://schemas.microsoft.com/office/2006/metadata/properties" ma:root="true" ma:fieldsID="8d93485d0db50c0741bfb4668c3800c9" ns2:_="">
    <xsd:import namespace="0e99a906-c4a2-49ed-85b1-9ae7654931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a906-c4a2-49ed-85b1-9ae765493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C5FAE-CAE8-4EB2-A06A-A5931D01C2B6}">
  <ds:schemaRefs>
    <ds:schemaRef ds:uri="http://schemas.openxmlformats.org/officeDocument/2006/bibliography"/>
  </ds:schemaRefs>
</ds:datastoreItem>
</file>

<file path=customXml/itemProps2.xml><?xml version="1.0" encoding="utf-8"?>
<ds:datastoreItem xmlns:ds="http://schemas.openxmlformats.org/officeDocument/2006/customXml" ds:itemID="{A5E5C180-08FD-48DC-8A41-57541C58E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a906-c4a2-49ed-85b1-9ae76549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D62E4-26A3-4CD5-9E31-34258A204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158C1-55B9-4E3B-83F0-A6A01671A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50</cp:revision>
  <cp:lastPrinted>2019-05-09T09:36:00Z</cp:lastPrinted>
  <dcterms:created xsi:type="dcterms:W3CDTF">2019-10-11T18:49:00Z</dcterms:created>
  <dcterms:modified xsi:type="dcterms:W3CDTF">2020-10-15T17:48:00Z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0x0101001235CE9B7A4FF64B86CE61953B8655D3</vt:lpwstr>
  </property>
</Properties>
</file>